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88"/>
        <w:ind w:firstLine="0"/>
        <w:contextualSpacing w:val="0"/>
        <w:jc w:val="center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Exercice sur Antidote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b w:val="1"/>
          <w:vertAlign w:val="baseline"/>
          <w:rtl w:val="0"/>
        </w:rPr>
        <w:t xml:space="preserve">Grâce à </w:t>
      </w:r>
      <w:r w:rsidRPr="00000000" w:rsidR="00000000" w:rsidDel="00000000">
        <w:rPr>
          <w:rFonts w:cs="Garamond" w:hAnsi="Garamond" w:eastAsia="Garamond" w:ascii="Garamond"/>
          <w:b w:val="1"/>
          <w:i w:val="1"/>
          <w:vertAlign w:val="baseline"/>
          <w:rtl w:val="0"/>
        </w:rPr>
        <w:t xml:space="preserve">Antidote</w:t>
      </w:r>
      <w:r w:rsidRPr="00000000" w:rsidR="00000000" w:rsidDel="00000000">
        <w:rPr>
          <w:rFonts w:cs="Garamond" w:hAnsi="Garamond" w:eastAsia="Garamond" w:ascii="Garamond"/>
          <w:b w:val="1"/>
          <w:vertAlign w:val="baseline"/>
          <w:rtl w:val="0"/>
        </w:rPr>
        <w:t xml:space="preserve">, trouvez les réponses aux questions suivantes. Gardez des traces de votre démarche (où vous avez trouvé l’information dans le logiciel).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1. Que doit-on écrire :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la fête de Marie ou la fête à Marie?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2. Quel est le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gentilé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 des habitants de la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Saskatchewan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?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3. Verbe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moudre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 1</w:t>
      </w:r>
      <w:r w:rsidRPr="00000000" w:rsidR="00000000" w:rsidDel="00000000">
        <w:rPr>
          <w:rFonts w:cs="Garamond" w:hAnsi="Garamond" w:eastAsia="Garamond" w:ascii="Garamond"/>
          <w:vertAlign w:val="superscript"/>
          <w:rtl w:val="0"/>
        </w:rPr>
        <w:t xml:space="preserve">ère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 personne du singulier indicatif présent.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4. Que signifie le préfixe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anti-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?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5. Quel est le contraire de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grandiose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?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6. Trouver un synonyme d’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appétissant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.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7. Identifiez 10 figures de style.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8. Grâce au correcteur et à ses prismes de correction, identifier la problématique dans cette phrase :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Marie a de grosses difficultés en français. Il faudrait faire quelque chose, mais je ne sais pas quoi.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9. Quelle est la règle du participe passé employé avec avoir? Où peut-on la trouver?</w:t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88"/>
        <w:ind w:firstLine="0"/>
        <w:contextualSpacing w:val="0"/>
      </w:pP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10. Trouver la signification de l’expression </w:t>
      </w:r>
      <w:r w:rsidRPr="00000000" w:rsidR="00000000" w:rsidDel="00000000">
        <w:rPr>
          <w:rFonts w:cs="Garamond" w:hAnsi="Garamond" w:eastAsia="Garamond" w:ascii="Garamond"/>
          <w:i w:val="1"/>
          <w:vertAlign w:val="baseline"/>
          <w:rtl w:val="0"/>
        </w:rPr>
        <w:t xml:space="preserve">en connaître un rayon</w:t>
      </w:r>
      <w:r w:rsidRPr="00000000" w:rsidR="00000000" w:rsidDel="00000000">
        <w:rPr>
          <w:rFonts w:cs="Garamond" w:hAnsi="Garamond" w:eastAsia="Garamond" w:ascii="Garamond"/>
          <w:vertAlign w:val="baseline"/>
          <w:rtl w:val="0"/>
        </w:rPr>
        <w:t xml:space="preserve">.</w:t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aramond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Exercice.antidote.docx</dc:title>
</cp:coreProperties>
</file>